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2A" w:rsidRDefault="00844A2A" w:rsidP="00B10CBB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E76E9C" w:rsidRDefault="00E76E9C" w:rsidP="00B10CB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Ogród w sieci – zaplanuj instalacje wokół domu</w:t>
      </w:r>
    </w:p>
    <w:p w:rsidR="00E76E9C" w:rsidRDefault="00B10CBB" w:rsidP="00E76E9C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>
        <w:rPr>
          <w:b/>
          <w:i/>
          <w:sz w:val="24"/>
          <w:szCs w:val="24"/>
        </w:rPr>
        <w:t xml:space="preserve">Instalacje to ważny etap budowy każdego domu. Nie zapominajmy jednak, że potrzebujemy ich również w przestrzeni zewnętrznej. Zakładając ogród, warto więc rozprowadzić je w odpowiednich miejscach. </w:t>
      </w:r>
      <w:r w:rsidR="00586561">
        <w:rPr>
          <w:b/>
          <w:i/>
          <w:sz w:val="24"/>
          <w:szCs w:val="24"/>
        </w:rPr>
        <w:t>Instalacja elektryczna będzie nam potrzebna nie tylko do zasilania oświetlenia, ale też obsługi automatycznej bramy wjazdowej czy furtki. Nie zapominajmy też, że</w:t>
      </w:r>
      <w:r>
        <w:rPr>
          <w:b/>
          <w:i/>
          <w:sz w:val="24"/>
          <w:szCs w:val="24"/>
        </w:rPr>
        <w:t xml:space="preserve"> nowoczesna posesja potrzebuje także dostępu do internetu.</w:t>
      </w:r>
    </w:p>
    <w:p w:rsidR="00AD1D7D" w:rsidRDefault="00AD1D7D" w:rsidP="00E10EB8">
      <w:pPr>
        <w:spacing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Większość instalacji na działce dobrze jest zaplanować i rozprowadzić zanim przystąpimy do wykańczania ogrodu, czyli układania nawierzchni, sadzenia roślin czy zakładania trawnika. Do głównych instalacji ogrodowych należą nawadnianie i elektryka. Ich realizacja wymaga wykonania wykopów pod rury i kable. Zachowując odpowiednią kolejność prac, unikniemy niszczenia wykonanych wcześniej ścieżek czy rabat. </w:t>
      </w:r>
    </w:p>
    <w:p w:rsidR="00844A2A" w:rsidRDefault="00844A2A" w:rsidP="00E10EB8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AD1D7D" w:rsidRPr="00AD1D7D" w:rsidRDefault="00AD1D7D" w:rsidP="00E10EB8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E10EB8">
        <w:rPr>
          <w:rFonts w:ascii="Calibri" w:eastAsia="Times New Roman" w:hAnsi="Calibri" w:cs="Times New Roman"/>
          <w:b/>
        </w:rPr>
        <w:t>Nawadnianie i elektryka</w:t>
      </w:r>
    </w:p>
    <w:p w:rsidR="00E10EB8" w:rsidRPr="00E10EB8" w:rsidRDefault="00586561" w:rsidP="00E10EB8">
      <w:pPr>
        <w:spacing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Podlewaniem ogrodu możemy zająć się </w:t>
      </w:r>
      <w:r w:rsidR="00AD1D7D">
        <w:rPr>
          <w:rFonts w:ascii="Calibri" w:eastAsia="Times New Roman" w:hAnsi="Calibri" w:cs="Times New Roman"/>
        </w:rPr>
        <w:t>samodzielnie używając szlaucha, przenośnych zraszaczy czy nawet konewki. Jednak</w:t>
      </w:r>
      <w:r>
        <w:rPr>
          <w:rFonts w:ascii="Calibri" w:eastAsia="Times New Roman" w:hAnsi="Calibri" w:cs="Times New Roman"/>
        </w:rPr>
        <w:t xml:space="preserve"> coraz więcej właścicieli domów zdejmuje sobie z głowy ten obowiązek</w:t>
      </w:r>
      <w:r w:rsidR="00AD1D7D">
        <w:rPr>
          <w:rFonts w:ascii="Calibri" w:eastAsia="Times New Roman" w:hAnsi="Calibri" w:cs="Times New Roman"/>
        </w:rPr>
        <w:t>, montując system automatycznego nawadniania.  S</w:t>
      </w:r>
      <w:r w:rsidR="00E10EB8" w:rsidRPr="00E10EB8">
        <w:rPr>
          <w:rFonts w:ascii="Calibri" w:eastAsia="Times New Roman" w:hAnsi="Calibri" w:cs="Times New Roman"/>
        </w:rPr>
        <w:t xml:space="preserve">prawdza się </w:t>
      </w:r>
      <w:r w:rsidR="00AD1D7D">
        <w:rPr>
          <w:rFonts w:ascii="Calibri" w:eastAsia="Times New Roman" w:hAnsi="Calibri" w:cs="Times New Roman"/>
        </w:rPr>
        <w:t xml:space="preserve">on </w:t>
      </w:r>
      <w:r w:rsidR="00E10EB8" w:rsidRPr="00E10EB8">
        <w:rPr>
          <w:rFonts w:ascii="Calibri" w:eastAsia="Times New Roman" w:hAnsi="Calibri" w:cs="Times New Roman"/>
        </w:rPr>
        <w:t>szczególnie pr</w:t>
      </w:r>
      <w:r w:rsidR="00AD1D7D">
        <w:rPr>
          <w:rFonts w:ascii="Calibri" w:eastAsia="Times New Roman" w:hAnsi="Calibri" w:cs="Times New Roman"/>
        </w:rPr>
        <w:t xml:space="preserve">zy dużych ogrodach – </w:t>
      </w:r>
      <w:r w:rsidR="00E10EB8" w:rsidRPr="00E10EB8">
        <w:rPr>
          <w:rFonts w:ascii="Calibri" w:eastAsia="Times New Roman" w:hAnsi="Calibri" w:cs="Times New Roman"/>
        </w:rPr>
        <w:t>zamontowany przez specjalistów jest programowalny</w:t>
      </w:r>
      <w:r w:rsidR="00AD1D7D">
        <w:rPr>
          <w:rFonts w:ascii="Calibri" w:eastAsia="Times New Roman" w:hAnsi="Calibri" w:cs="Times New Roman"/>
        </w:rPr>
        <w:t>, praktycznie bezobsługowy</w:t>
      </w:r>
      <w:r w:rsidR="00E10EB8" w:rsidRPr="00E10EB8">
        <w:rPr>
          <w:rFonts w:ascii="Calibri" w:eastAsia="Times New Roman" w:hAnsi="Calibri" w:cs="Times New Roman"/>
        </w:rPr>
        <w:t xml:space="preserve"> i zapewnia racjonalne zużycie wody. </w:t>
      </w:r>
      <w:r w:rsidR="00AD1D7D">
        <w:rPr>
          <w:rFonts w:ascii="Calibri" w:eastAsia="Times New Roman" w:hAnsi="Calibri" w:cs="Times New Roman"/>
        </w:rPr>
        <w:t>System składa się</w:t>
      </w:r>
      <w:r w:rsidR="00844A2A">
        <w:rPr>
          <w:rFonts w:ascii="Calibri" w:eastAsia="Times New Roman" w:hAnsi="Calibri" w:cs="Times New Roman"/>
        </w:rPr>
        <w:t xml:space="preserve"> przede</w:t>
      </w:r>
      <w:r w:rsidR="00E90C9F">
        <w:rPr>
          <w:rFonts w:ascii="Calibri" w:eastAsia="Times New Roman" w:hAnsi="Calibri" w:cs="Times New Roman"/>
        </w:rPr>
        <w:t xml:space="preserve"> wszystkim z rur rozprowadzających</w:t>
      </w:r>
      <w:r w:rsidR="00844A2A">
        <w:rPr>
          <w:rFonts w:ascii="Calibri" w:eastAsia="Times New Roman" w:hAnsi="Calibri" w:cs="Times New Roman"/>
        </w:rPr>
        <w:t xml:space="preserve"> wodę, różnego rodzaju urządzeń emitujących (zraszacze </w:t>
      </w:r>
      <w:proofErr w:type="spellStart"/>
      <w:r w:rsidR="00844A2A">
        <w:rPr>
          <w:rFonts w:ascii="Calibri" w:eastAsia="Times New Roman" w:hAnsi="Calibri" w:cs="Times New Roman"/>
        </w:rPr>
        <w:t>wynurzalne</w:t>
      </w:r>
      <w:proofErr w:type="spellEnd"/>
      <w:r w:rsidR="00844A2A">
        <w:rPr>
          <w:rFonts w:ascii="Calibri" w:eastAsia="Times New Roman" w:hAnsi="Calibri" w:cs="Times New Roman"/>
        </w:rPr>
        <w:t xml:space="preserve"> i stałe, </w:t>
      </w:r>
      <w:proofErr w:type="spellStart"/>
      <w:r w:rsidR="00844A2A">
        <w:rPr>
          <w:rFonts w:ascii="Calibri" w:eastAsia="Times New Roman" w:hAnsi="Calibri" w:cs="Times New Roman"/>
        </w:rPr>
        <w:t>mikrozraszacze</w:t>
      </w:r>
      <w:proofErr w:type="spellEnd"/>
      <w:r w:rsidR="00844A2A">
        <w:rPr>
          <w:rFonts w:ascii="Calibri" w:eastAsia="Times New Roman" w:hAnsi="Calibri" w:cs="Times New Roman"/>
        </w:rPr>
        <w:t xml:space="preserve">, linie kroplujące) oraz automatyki. </w:t>
      </w:r>
    </w:p>
    <w:p w:rsidR="00844A2A" w:rsidRDefault="00844A2A" w:rsidP="00E10EB8">
      <w:pPr>
        <w:spacing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Zewnętrzna i</w:t>
      </w:r>
      <w:r w:rsidR="00E10EB8" w:rsidRPr="00E10EB8">
        <w:rPr>
          <w:rFonts w:ascii="Calibri" w:eastAsia="Times New Roman" w:hAnsi="Calibri" w:cs="Times New Roman"/>
        </w:rPr>
        <w:t xml:space="preserve">nstalacja elektryczna ma na celu przede wszystkim doprowadzenie zasilania do oświetlenia ogrodowego, ale też potrzebna będzie do obsługi automatyki bramy wjazdowej, </w:t>
      </w:r>
      <w:proofErr w:type="spellStart"/>
      <w:r w:rsidR="00E10EB8" w:rsidRPr="00E10EB8">
        <w:rPr>
          <w:rFonts w:ascii="Calibri" w:eastAsia="Times New Roman" w:hAnsi="Calibri" w:cs="Times New Roman"/>
        </w:rPr>
        <w:t>elektrozaczepu</w:t>
      </w:r>
      <w:proofErr w:type="spellEnd"/>
      <w:r w:rsidR="00E10EB8" w:rsidRPr="00E10EB8">
        <w:rPr>
          <w:rFonts w:ascii="Calibri" w:eastAsia="Times New Roman" w:hAnsi="Calibri" w:cs="Times New Roman"/>
        </w:rPr>
        <w:t xml:space="preserve"> przy furtce czy obsługi domofonu lub </w:t>
      </w:r>
      <w:proofErr w:type="spellStart"/>
      <w:r w:rsidR="00E10EB8" w:rsidRPr="00E10EB8">
        <w:rPr>
          <w:rFonts w:ascii="Calibri" w:eastAsia="Times New Roman" w:hAnsi="Calibri" w:cs="Times New Roman"/>
        </w:rPr>
        <w:t>wideodomofonu</w:t>
      </w:r>
      <w:proofErr w:type="spellEnd"/>
      <w:r>
        <w:rPr>
          <w:rFonts w:ascii="Calibri" w:eastAsia="Times New Roman" w:hAnsi="Calibri" w:cs="Times New Roman"/>
        </w:rPr>
        <w:t xml:space="preserve">. </w:t>
      </w:r>
      <w:r w:rsidR="00E10EB8" w:rsidRPr="00E10EB8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Prąd przyda się również w pobliżu strefy gospodarczej do podłączenia elektronarzędzi, a także w pobliżu oczka wodnego do zasilania pompy. </w:t>
      </w:r>
    </w:p>
    <w:p w:rsidR="00844A2A" w:rsidRDefault="00844A2A" w:rsidP="00E10EB8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844A2A" w:rsidRDefault="00844A2A" w:rsidP="00E10EB8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Ogród w nowym świetle</w:t>
      </w:r>
    </w:p>
    <w:p w:rsidR="008F0947" w:rsidRDefault="00E10EB8" w:rsidP="00E10EB8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E10EB8">
        <w:rPr>
          <w:rFonts w:ascii="Calibri" w:eastAsia="Times New Roman" w:hAnsi="Calibri" w:cs="Times New Roman"/>
        </w:rPr>
        <w:t xml:space="preserve">Sztuczne światło ułatwia orientację w ogrodzie po zmroku, podkreśla atrakcyjność architektury i roślinności oraz umożliwia przyjemne spędzanie czasu na zewnątrz po zmierzchu. Warto </w:t>
      </w:r>
      <w:r w:rsidR="008F0947">
        <w:rPr>
          <w:rFonts w:ascii="Calibri" w:eastAsia="Times New Roman" w:hAnsi="Calibri" w:cs="Times New Roman"/>
        </w:rPr>
        <w:t>dobrze przemyśleć, które części działki chcemy podkreślić, gdzie będziemy spędzać czas i jakimi ciągami komunikacyjnymi będziemy poruszać się nocą. Nie ma potrzeby oświetlać równomiernie całej przestrzeni wokół domu – nie tylko jest to nieekonomiczne, ale też nie zapewni dobrego efektu wizualnego.</w:t>
      </w:r>
    </w:p>
    <w:p w:rsidR="00844A2A" w:rsidRDefault="00E10EB8" w:rsidP="00E10EB8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E10EB8">
        <w:rPr>
          <w:rFonts w:ascii="Calibri" w:eastAsia="Times New Roman" w:hAnsi="Calibri" w:cs="Times New Roman"/>
        </w:rPr>
        <w:t>- Montaż oświetlenia ogrodowego należy rozpocząć od ustalenia lokalizacji lamp i wytyczenia przebiegu kabli – zaznacza Małgorzata Podemska</w:t>
      </w:r>
      <w:r w:rsidR="008F0947">
        <w:rPr>
          <w:rFonts w:ascii="Calibri" w:eastAsia="Times New Roman" w:hAnsi="Calibri" w:cs="Times New Roman"/>
        </w:rPr>
        <w:t>, menadżer ds. rozwoju rynku w firmie Plast-Met Systemy Ogrodzeniowe</w:t>
      </w:r>
      <w:r w:rsidRPr="00E10EB8">
        <w:rPr>
          <w:rFonts w:ascii="Calibri" w:eastAsia="Times New Roman" w:hAnsi="Calibri" w:cs="Times New Roman"/>
        </w:rPr>
        <w:t>. – Montując lampy</w:t>
      </w:r>
      <w:r w:rsidR="008F0947">
        <w:rPr>
          <w:rFonts w:ascii="Calibri" w:eastAsia="Times New Roman" w:hAnsi="Calibri" w:cs="Times New Roman"/>
        </w:rPr>
        <w:t xml:space="preserve"> stojące na słupku, np. </w:t>
      </w:r>
      <w:r w:rsidRPr="00E10EB8">
        <w:rPr>
          <w:rFonts w:ascii="Calibri" w:eastAsia="Times New Roman" w:hAnsi="Calibri" w:cs="Times New Roman"/>
        </w:rPr>
        <w:t xml:space="preserve"> </w:t>
      </w:r>
      <w:proofErr w:type="spellStart"/>
      <w:r w:rsidRPr="00E10EB8">
        <w:rPr>
          <w:rFonts w:ascii="Calibri" w:eastAsia="Times New Roman" w:hAnsi="Calibri" w:cs="Times New Roman"/>
        </w:rPr>
        <w:t>Sim</w:t>
      </w:r>
      <w:r w:rsidR="008F0947">
        <w:rPr>
          <w:rFonts w:ascii="Calibri" w:eastAsia="Times New Roman" w:hAnsi="Calibri" w:cs="Times New Roman"/>
        </w:rPr>
        <w:t>pio</w:t>
      </w:r>
      <w:proofErr w:type="spellEnd"/>
      <w:r w:rsidR="008F0947">
        <w:rPr>
          <w:rFonts w:ascii="Calibri" w:eastAsia="Times New Roman" w:hAnsi="Calibri" w:cs="Times New Roman"/>
        </w:rPr>
        <w:t xml:space="preserve"> i </w:t>
      </w:r>
      <w:proofErr w:type="spellStart"/>
      <w:r w:rsidR="008F0947">
        <w:rPr>
          <w:rFonts w:ascii="Calibri" w:eastAsia="Times New Roman" w:hAnsi="Calibri" w:cs="Times New Roman"/>
        </w:rPr>
        <w:t>Bosspio</w:t>
      </w:r>
      <w:proofErr w:type="spellEnd"/>
      <w:r w:rsidRPr="00E10EB8">
        <w:rPr>
          <w:rFonts w:ascii="Calibri" w:eastAsia="Times New Roman" w:hAnsi="Calibri" w:cs="Times New Roman"/>
        </w:rPr>
        <w:t xml:space="preserve">, wystarczy wbić w ziemię stalowe kotwy dostępne w zestawie. Kolejną czynnością jest wykopanie rowków na kable. Mogą mieć głębokość od 50 do 100 cm, ale zwykle zagłębia się je na 70 cm. Pierwszą montujemy lampę z zasilaczem </w:t>
      </w:r>
      <w:proofErr w:type="spellStart"/>
      <w:r w:rsidRPr="00E10EB8">
        <w:rPr>
          <w:rFonts w:ascii="Calibri" w:eastAsia="Times New Roman" w:hAnsi="Calibri" w:cs="Times New Roman"/>
        </w:rPr>
        <w:t>Bosspio</w:t>
      </w:r>
      <w:proofErr w:type="spellEnd"/>
      <w:r w:rsidRPr="00E10EB8">
        <w:rPr>
          <w:rFonts w:ascii="Calibri" w:eastAsia="Times New Roman" w:hAnsi="Calibri" w:cs="Times New Roman"/>
        </w:rPr>
        <w:t xml:space="preserve">, następnie przychodzi kolej na </w:t>
      </w:r>
      <w:proofErr w:type="spellStart"/>
      <w:r w:rsidRPr="00E10EB8">
        <w:rPr>
          <w:rFonts w:ascii="Calibri" w:eastAsia="Times New Roman" w:hAnsi="Calibri" w:cs="Times New Roman"/>
        </w:rPr>
        <w:t>Simpio</w:t>
      </w:r>
      <w:proofErr w:type="spellEnd"/>
      <w:r w:rsidRPr="00E10EB8">
        <w:rPr>
          <w:rFonts w:ascii="Calibri" w:eastAsia="Times New Roman" w:hAnsi="Calibri" w:cs="Times New Roman"/>
        </w:rPr>
        <w:t xml:space="preserve"> lub Mini </w:t>
      </w:r>
      <w:proofErr w:type="spellStart"/>
      <w:r w:rsidRPr="00E10EB8">
        <w:rPr>
          <w:rFonts w:ascii="Calibri" w:eastAsia="Times New Roman" w:hAnsi="Calibri" w:cs="Times New Roman"/>
        </w:rPr>
        <w:t>Simpio</w:t>
      </w:r>
      <w:proofErr w:type="spellEnd"/>
      <w:r w:rsidRPr="00E10EB8">
        <w:rPr>
          <w:rFonts w:ascii="Calibri" w:eastAsia="Times New Roman" w:hAnsi="Calibri" w:cs="Times New Roman"/>
        </w:rPr>
        <w:t xml:space="preserve">, które podłączamy do rozciągniętych wcześniej przewodów. Przed zasypaniem kabli kładziemy na nie folię sygnalizacyjną. </w:t>
      </w:r>
    </w:p>
    <w:p w:rsidR="008F0947" w:rsidRDefault="008F0947" w:rsidP="00E10EB8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8F0947" w:rsidRPr="008F0947" w:rsidRDefault="008F0947" w:rsidP="00E10EB8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8F0947">
        <w:rPr>
          <w:rFonts w:ascii="Calibri" w:eastAsia="Times New Roman" w:hAnsi="Calibri" w:cs="Times New Roman"/>
          <w:b/>
        </w:rPr>
        <w:t>Ogrodowe centrum dowodzenia</w:t>
      </w:r>
    </w:p>
    <w:p w:rsidR="000D56CE" w:rsidRDefault="00675E86" w:rsidP="00844A2A">
      <w:pPr>
        <w:spacing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 ile prąd i nawadnianie wydają się dość oczywiste, o tyle nie każdy </w:t>
      </w:r>
      <w:r w:rsidR="000D56CE">
        <w:rPr>
          <w:rFonts w:ascii="Calibri" w:eastAsia="Times New Roman" w:hAnsi="Calibri" w:cs="Times New Roman"/>
        </w:rPr>
        <w:t xml:space="preserve">pomyśli o tym, że w ogrodzie przyda się także </w:t>
      </w:r>
      <w:proofErr w:type="spellStart"/>
      <w:r w:rsidR="000D56CE">
        <w:rPr>
          <w:rFonts w:ascii="Calibri" w:eastAsia="Times New Roman" w:hAnsi="Calibri" w:cs="Times New Roman"/>
        </w:rPr>
        <w:t>internet</w:t>
      </w:r>
      <w:proofErr w:type="spellEnd"/>
      <w:r w:rsidR="000D56CE">
        <w:rPr>
          <w:rFonts w:ascii="Calibri" w:eastAsia="Times New Roman" w:hAnsi="Calibri" w:cs="Times New Roman"/>
        </w:rPr>
        <w:t>. Tymczasem warto pociągnąć do ogrodzenia kabel internetowy</w:t>
      </w:r>
      <w:r w:rsidR="00844A2A" w:rsidRPr="00E10EB8">
        <w:rPr>
          <w:rFonts w:ascii="Calibri" w:eastAsia="Times New Roman" w:hAnsi="Calibri" w:cs="Times New Roman"/>
        </w:rPr>
        <w:t xml:space="preserve">, dzięki czemu nie będziemy musieli martwić się o zasięg z domowej sieci </w:t>
      </w:r>
      <w:proofErr w:type="spellStart"/>
      <w:r w:rsidR="00844A2A" w:rsidRPr="00E10EB8">
        <w:rPr>
          <w:rFonts w:ascii="Calibri" w:eastAsia="Times New Roman" w:hAnsi="Calibri" w:cs="Times New Roman"/>
        </w:rPr>
        <w:t>WiFi</w:t>
      </w:r>
      <w:proofErr w:type="spellEnd"/>
      <w:r w:rsidR="00844A2A" w:rsidRPr="00E10EB8">
        <w:rPr>
          <w:rFonts w:ascii="Calibri" w:eastAsia="Times New Roman" w:hAnsi="Calibri" w:cs="Times New Roman"/>
        </w:rPr>
        <w:t xml:space="preserve"> i bez problemu będziemy w stanie zdalnie sterować bramą i furtką z aplikacji w smartfonie czy tablecie. </w:t>
      </w:r>
      <w:r w:rsidR="000D56CE">
        <w:rPr>
          <w:rFonts w:ascii="Calibri" w:eastAsia="Times New Roman" w:hAnsi="Calibri" w:cs="Times New Roman"/>
        </w:rPr>
        <w:t>Dobierając odpowiedni sterownik, w ten sam sposób możemy również kontrolować oświetlenie na posesji.</w:t>
      </w:r>
    </w:p>
    <w:p w:rsidR="00844A2A" w:rsidRPr="00E10EB8" w:rsidRDefault="000D56CE" w:rsidP="00844A2A">
      <w:pPr>
        <w:spacing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Wszystkie elementy sterujące i zasilające </w:t>
      </w:r>
      <w:r w:rsidR="00442069">
        <w:rPr>
          <w:rFonts w:ascii="Calibri" w:eastAsia="Times New Roman" w:hAnsi="Calibri" w:cs="Times New Roman"/>
        </w:rPr>
        <w:t>do napędu</w:t>
      </w:r>
      <w:r>
        <w:rPr>
          <w:rFonts w:ascii="Calibri" w:eastAsia="Times New Roman" w:hAnsi="Calibri" w:cs="Times New Roman"/>
        </w:rPr>
        <w:t xml:space="preserve"> </w:t>
      </w:r>
      <w:r w:rsidR="00442069">
        <w:rPr>
          <w:rFonts w:ascii="Calibri" w:eastAsia="Times New Roman" w:hAnsi="Calibri" w:cs="Times New Roman"/>
        </w:rPr>
        <w:t xml:space="preserve">bramy wjazdowej, </w:t>
      </w:r>
      <w:proofErr w:type="spellStart"/>
      <w:r w:rsidR="00442069">
        <w:rPr>
          <w:rFonts w:ascii="Calibri" w:eastAsia="Times New Roman" w:hAnsi="Calibri" w:cs="Times New Roman"/>
        </w:rPr>
        <w:t>elektrozaczepu</w:t>
      </w:r>
      <w:proofErr w:type="spellEnd"/>
      <w:r>
        <w:rPr>
          <w:rFonts w:ascii="Calibri" w:eastAsia="Times New Roman" w:hAnsi="Calibri" w:cs="Times New Roman"/>
        </w:rPr>
        <w:t xml:space="preserve"> furtki, oś</w:t>
      </w:r>
      <w:r w:rsidR="00442069">
        <w:rPr>
          <w:rFonts w:ascii="Calibri" w:eastAsia="Times New Roman" w:hAnsi="Calibri" w:cs="Times New Roman"/>
        </w:rPr>
        <w:t>wietlenia</w:t>
      </w:r>
      <w:r>
        <w:rPr>
          <w:rFonts w:ascii="Calibri" w:eastAsia="Times New Roman" w:hAnsi="Calibri" w:cs="Times New Roman"/>
        </w:rPr>
        <w:t xml:space="preserve"> </w:t>
      </w:r>
      <w:r w:rsidR="00442069">
        <w:rPr>
          <w:rFonts w:ascii="Calibri" w:eastAsia="Times New Roman" w:hAnsi="Calibri" w:cs="Times New Roman"/>
        </w:rPr>
        <w:t>ogrodowego i ogrodzeniowego</w:t>
      </w:r>
      <w:r>
        <w:rPr>
          <w:rFonts w:ascii="Calibri" w:eastAsia="Times New Roman" w:hAnsi="Calibri" w:cs="Times New Roman"/>
        </w:rPr>
        <w:t xml:space="preserve"> można zlokalizować w jednym miejscu – podpowiada Małgorzata Podemska. – </w:t>
      </w:r>
      <w:proofErr w:type="spellStart"/>
      <w:r w:rsidR="00844A2A" w:rsidRPr="00E10EB8">
        <w:rPr>
          <w:rFonts w:ascii="Calibri" w:eastAsia="Times New Roman" w:hAnsi="Calibri" w:cs="Times New Roman"/>
        </w:rPr>
        <w:t>Centerbox</w:t>
      </w:r>
      <w:proofErr w:type="spellEnd"/>
      <w:r>
        <w:rPr>
          <w:rFonts w:ascii="Calibri" w:eastAsia="Times New Roman" w:hAnsi="Calibri" w:cs="Times New Roman"/>
        </w:rPr>
        <w:t xml:space="preserve"> to specjalny moduł</w:t>
      </w:r>
      <w:r w:rsidR="00844A2A" w:rsidRPr="00E10EB8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kt</w:t>
      </w:r>
      <w:r w:rsidR="00442069">
        <w:rPr>
          <w:rFonts w:ascii="Calibri" w:eastAsia="Times New Roman" w:hAnsi="Calibri" w:cs="Times New Roman"/>
        </w:rPr>
        <w:t>óry można zamontować przy wejściu na posesję</w:t>
      </w:r>
      <w:r>
        <w:rPr>
          <w:rFonts w:ascii="Calibri" w:eastAsia="Times New Roman" w:hAnsi="Calibri" w:cs="Times New Roman"/>
        </w:rPr>
        <w:t xml:space="preserve">. </w:t>
      </w:r>
      <w:r w:rsidR="00844A2A" w:rsidRPr="00E10EB8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W jego dolnej części zmieszczą się wszystkie </w:t>
      </w:r>
      <w:r w:rsidR="00790B87">
        <w:rPr>
          <w:rFonts w:ascii="Calibri" w:eastAsia="Times New Roman" w:hAnsi="Calibri" w:cs="Times New Roman"/>
        </w:rPr>
        <w:t xml:space="preserve">sterowniki i zasilanie, w środkowej wbudowana jest skrzynka na listy. W górnej natomiast, w zależności od indywidualnych preferencji, może </w:t>
      </w:r>
      <w:r w:rsidR="00790B87">
        <w:rPr>
          <w:rFonts w:ascii="Calibri" w:eastAsia="Times New Roman" w:hAnsi="Calibri" w:cs="Times New Roman"/>
        </w:rPr>
        <w:lastRenderedPageBreak/>
        <w:t xml:space="preserve">znajdować się domofon lub </w:t>
      </w:r>
      <w:proofErr w:type="spellStart"/>
      <w:r w:rsidR="00790B87">
        <w:rPr>
          <w:rFonts w:ascii="Calibri" w:eastAsia="Times New Roman" w:hAnsi="Calibri" w:cs="Times New Roman"/>
        </w:rPr>
        <w:t>wideodomofon</w:t>
      </w:r>
      <w:proofErr w:type="spellEnd"/>
      <w:r w:rsidR="00790B87">
        <w:rPr>
          <w:rFonts w:ascii="Calibri" w:eastAsia="Times New Roman" w:hAnsi="Calibri" w:cs="Times New Roman"/>
        </w:rPr>
        <w:t>, a także płytka z</w:t>
      </w:r>
      <w:r w:rsidR="00442069">
        <w:rPr>
          <w:rFonts w:ascii="Calibri" w:eastAsia="Times New Roman" w:hAnsi="Calibri" w:cs="Times New Roman"/>
        </w:rPr>
        <w:t xml:space="preserve"> podświetlanym numerem i </w:t>
      </w:r>
      <w:r w:rsidR="00790B87">
        <w:rPr>
          <w:rFonts w:ascii="Calibri" w:eastAsia="Times New Roman" w:hAnsi="Calibri" w:cs="Times New Roman"/>
        </w:rPr>
        <w:t xml:space="preserve"> wygrawerowaną nazwą ulicy.  </w:t>
      </w:r>
    </w:p>
    <w:p w:rsidR="00844A2A" w:rsidRPr="00E10EB8" w:rsidRDefault="00844A2A" w:rsidP="00E10EB8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7E04F2" w:rsidRDefault="00FF34CB">
      <w:pPr>
        <w:spacing w:after="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Plast-Met Systemy Ogrodzeniowe</w:t>
      </w:r>
      <w:r>
        <w:rPr>
          <w:sz w:val="18"/>
          <w:szCs w:val="18"/>
        </w:rPr>
        <w:t xml:space="preserve"> z siedzibą w Trzebnicy to jeden z czołowych producentów nowoczesnych i trwałych systemów ogrodzeniowych w Polsce. Firma specjalizuje się w produkcji takich wyrobów jak: nowoczesne ogrodzenia frontowe, modułowe ogrodzenia frontowe, lampy LED, </w:t>
      </w:r>
      <w:proofErr w:type="spellStart"/>
      <w:r>
        <w:rPr>
          <w:sz w:val="18"/>
          <w:szCs w:val="18"/>
        </w:rPr>
        <w:t>Centerbox</w:t>
      </w:r>
      <w:proofErr w:type="spellEnd"/>
      <w:r>
        <w:rPr>
          <w:sz w:val="18"/>
          <w:szCs w:val="18"/>
        </w:rPr>
        <w:t xml:space="preserve">, panele ogrodzeniowe, siatki ogrodzeniowe, słupki, akcesoria oraz bramy i furtki. Plast-Met Systemy Ogrodzeniowe istnieje na rynku od 1988 r. i jest firmą ze 100% polskim </w:t>
      </w:r>
      <w:r>
        <w:rPr>
          <w:color w:val="000000" w:themeColor="text1"/>
          <w:sz w:val="18"/>
          <w:szCs w:val="18"/>
        </w:rPr>
        <w:t xml:space="preserve">kapitałem. </w:t>
      </w:r>
      <w:hyperlink r:id="rId10" w:tooltip="http://www.plast-met.pl" w:history="1">
        <w:r>
          <w:rPr>
            <w:rStyle w:val="Hipercze"/>
            <w:color w:val="000000" w:themeColor="text1"/>
            <w:sz w:val="18"/>
            <w:szCs w:val="18"/>
            <w:u w:val="none"/>
          </w:rPr>
          <w:t>www.plast-met.pl</w:t>
        </w:r>
      </w:hyperlink>
      <w:r>
        <w:rPr>
          <w:color w:val="000000" w:themeColor="text1"/>
          <w:sz w:val="18"/>
          <w:szCs w:val="18"/>
        </w:rPr>
        <w:t xml:space="preserve"> </w:t>
      </w:r>
    </w:p>
    <w:sectPr w:rsidR="007E04F2">
      <w:headerReference w:type="default" r:id="rId11"/>
      <w:footerReference w:type="default" r:id="rId12"/>
      <w:pgSz w:w="11906" w:h="16838"/>
      <w:pgMar w:top="2095" w:right="1418" w:bottom="1843" w:left="1418" w:header="850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62" w:rsidRDefault="00787862">
      <w:pPr>
        <w:spacing w:after="0" w:line="240" w:lineRule="auto"/>
      </w:pPr>
      <w:r>
        <w:separator/>
      </w:r>
    </w:p>
  </w:endnote>
  <w:endnote w:type="continuationSeparator" w:id="0">
    <w:p w:rsidR="00787862" w:rsidRDefault="0078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auto"/>
    <w:pitch w:val="default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spira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ahom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2" w:rsidRDefault="00FF34CB">
    <w:pPr>
      <w:spacing w:after="0" w:line="240" w:lineRule="auto"/>
      <w:jc w:val="center"/>
      <w:rPr>
        <w:rFonts w:ascii="lato" w:eastAsia="Calibri" w:hAnsi="lato" w:cs="Calibri"/>
        <w:color w:val="000000"/>
        <w:sz w:val="18"/>
        <w:szCs w:val="18"/>
      </w:rPr>
    </w:pPr>
    <w:r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g">
          <w:drawing>
            <wp:anchor distT="0" distB="4294967292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5="http://schemas.microsoft.com/office/word/2012/wordml">
          <w:pict>
            <v:shape id="shape 1" o:spid="_x0000_s1" o:spt="32" style="position:absolute;mso-wrap-distance-left:9.0pt;mso-wrap-distance-top:0.0pt;mso-wrap-distance-right:9.0pt;mso-wrap-distance-bottom:-169093.2pt;z-index:251657216;o:allowoverlap:true;o:allowincell:true;mso-position-horizontal-relative:text;margin-left:-12.4pt;mso-position-horizontal:absolute;mso-position-vertical-relative:text;margin-top:-2.1pt;mso-position-vertical:absolute;width:470.8pt;height:0.0pt;" coordsize="100000,100000" path="m0,0l100000,13839178nfe" filled="f" strokecolor="#000000" strokeweight="0.75pt">
              <v:path textboxrect="0,0,100000,100000"/>
            </v:shape>
          </w:pict>
        </mc:Fallback>
      </mc:AlternateContent>
    </w:r>
    <w:r>
      <w:rPr>
        <w:rFonts w:ascii="Calibri" w:eastAsia="Calibri" w:hAnsi="Calibri" w:cs="Calibri"/>
        <w:b/>
        <w:color w:val="000000" w:themeColor="text1"/>
        <w:sz w:val="18"/>
        <w:szCs w:val="18"/>
      </w:rPr>
      <w:t>K</w:t>
    </w:r>
    <w:r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:rsidR="007E04F2" w:rsidRDefault="00FF34CB">
    <w:pPr>
      <w:spacing w:after="0" w:line="240" w:lineRule="auto"/>
      <w:jc w:val="center"/>
      <w:rPr>
        <w:rFonts w:ascii="lato" w:eastAsia="Calibri" w:hAnsi="lato" w:cs="Calibri"/>
        <w:color w:val="000000"/>
        <w:sz w:val="18"/>
        <w:szCs w:val="18"/>
      </w:rPr>
    </w:pPr>
    <w:r>
      <w:rPr>
        <w:rFonts w:ascii="lato" w:eastAsia="Calibri" w:hAnsi="lato" w:cs="Calibri"/>
        <w:b/>
        <w:color w:val="000000" w:themeColor="text1"/>
        <w:sz w:val="18"/>
        <w:szCs w:val="18"/>
      </w:rPr>
      <w:t>Osoba do kontaktu:</w:t>
    </w:r>
    <w:r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:rsidR="007E04F2" w:rsidRDefault="00FF34CB">
    <w:pPr>
      <w:spacing w:after="0" w:line="240" w:lineRule="auto"/>
      <w:jc w:val="center"/>
      <w:rPr>
        <w:rFonts w:ascii="lato" w:eastAsia="Calibri" w:hAnsi="lato" w:cs="Calibri"/>
        <w:color w:val="000000"/>
        <w:sz w:val="18"/>
        <w:szCs w:val="18"/>
      </w:rPr>
    </w:pPr>
    <w:r>
      <w:rPr>
        <w:rFonts w:ascii="lato" w:eastAsia="Calibri" w:hAnsi="lato" w:cs="Calibri"/>
        <w:color w:val="000000" w:themeColor="text1"/>
        <w:sz w:val="18"/>
        <w:szCs w:val="18"/>
      </w:rPr>
      <w:t>Sylwia Makowska-</w:t>
    </w:r>
    <w:proofErr w:type="spellStart"/>
    <w:r>
      <w:rPr>
        <w:rFonts w:ascii="lato" w:eastAsia="Calibri" w:hAnsi="lato" w:cs="Calibri"/>
        <w:color w:val="000000" w:themeColor="text1"/>
        <w:sz w:val="18"/>
        <w:szCs w:val="18"/>
      </w:rPr>
      <w:t>Rzatkiewicz</w:t>
    </w:r>
    <w:proofErr w:type="spellEnd"/>
    <w:r>
      <w:rPr>
        <w:rFonts w:ascii="lato" w:eastAsia="Calibri" w:hAnsi="lato" w:cs="Calibri"/>
        <w:color w:val="000000" w:themeColor="text1"/>
        <w:sz w:val="18"/>
        <w:szCs w:val="18"/>
      </w:rPr>
      <w:t xml:space="preserve"> tel. 71 314 10 02, tel. kom. 517 412 466</w:t>
    </w:r>
  </w:p>
  <w:p w:rsidR="007E04F2" w:rsidRDefault="00FF34CB">
    <w:pPr>
      <w:spacing w:after="0" w:line="240" w:lineRule="auto"/>
      <w:jc w:val="center"/>
      <w:rPr>
        <w:color w:val="000000"/>
        <w:sz w:val="18"/>
        <w:szCs w:val="18"/>
        <w:lang w:val="de-DE"/>
      </w:rPr>
    </w:pPr>
    <w:proofErr w:type="spellStart"/>
    <w:r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tooltip="mailto:s.makowska@orchidea.co" w:history="1">
      <w:r>
        <w:rPr>
          <w:rStyle w:val="Hipercz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62" w:rsidRDefault="00787862">
      <w:pPr>
        <w:spacing w:after="0" w:line="240" w:lineRule="auto"/>
      </w:pPr>
      <w:r>
        <w:separator/>
      </w:r>
    </w:p>
  </w:footnote>
  <w:footnote w:type="continuationSeparator" w:id="0">
    <w:p w:rsidR="00787862" w:rsidRDefault="0078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2" w:rsidRDefault="00FF34CB">
    <w:pPr>
      <w:pStyle w:val="Nagwek"/>
      <w:tabs>
        <w:tab w:val="clear" w:pos="4536"/>
        <w:tab w:val="clear" w:pos="9072"/>
      </w:tabs>
      <w:jc w:val="right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-172085</wp:posOffset>
              </wp:positionV>
              <wp:extent cx="1219200" cy="487680"/>
              <wp:effectExtent l="0" t="0" r="0" b="7620"/>
              <wp:wrapTight wrapText="bothSides">
                <wp:wrapPolygon edited="1">
                  <wp:start x="0" y="0"/>
                  <wp:lineTo x="0" y="21094"/>
                  <wp:lineTo x="21263" y="21094"/>
                  <wp:lineTo x="21263" y="0"/>
                  <wp:lineTo x="0" y="0"/>
                </wp:wrapPolygon>
              </wp:wrapTight>
              <wp:docPr id="1" name="Obraz 26" descr="Znalezione obrazy dla zapytania plast me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nalezione obrazy dla zapytania plast met logo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192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0288;o:allowoverlap:true;o:allowincell:true;mso-position-horizontal-relative:text;margin-left:0.0pt;mso-position-horizontal:absolute;mso-position-vertical-relative:text;margin-top:-13.5pt;mso-position-vertical:absolute;width:96.0pt;height:38.4pt;" wrapcoords="0 0 0 97657 98440 97657 98440 0 0 0" stroked="f">
              <v:path textboxrect="0,0,0,0"/>
              <v:imagedata r:id="rId2" o:title=""/>
            </v:shape>
          </w:pict>
        </mc:Fallback>
      </mc:AlternateContent>
    </w:r>
    <w:r w:rsidR="004D1C57">
      <w:tab/>
    </w:r>
    <w:r w:rsidR="004D1C57">
      <w:br/>
      <w:t>Informacja prasowa – czerwiec</w:t>
    </w:r>
    <w: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A42DE"/>
    <w:multiLevelType w:val="hybridMultilevel"/>
    <w:tmpl w:val="255A5D30"/>
    <w:lvl w:ilvl="0" w:tplc="8CE83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D64D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BE4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72AB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4438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507F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DEC0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7028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4032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261C7"/>
    <w:multiLevelType w:val="hybridMultilevel"/>
    <w:tmpl w:val="C2885EFA"/>
    <w:lvl w:ilvl="0" w:tplc="EFC2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87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CDE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4DC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89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E0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0B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3C00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 w:tplc="8CE83626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2"/>
    <w:rsid w:val="000D56CE"/>
    <w:rsid w:val="00107EBE"/>
    <w:rsid w:val="002C7202"/>
    <w:rsid w:val="00442069"/>
    <w:rsid w:val="004D1C57"/>
    <w:rsid w:val="00504758"/>
    <w:rsid w:val="00586561"/>
    <w:rsid w:val="0060170C"/>
    <w:rsid w:val="00675E86"/>
    <w:rsid w:val="006C46D8"/>
    <w:rsid w:val="00745CDA"/>
    <w:rsid w:val="00787862"/>
    <w:rsid w:val="00790B87"/>
    <w:rsid w:val="007E04F2"/>
    <w:rsid w:val="00844A2A"/>
    <w:rsid w:val="008F0947"/>
    <w:rsid w:val="00903BF7"/>
    <w:rsid w:val="00925D8E"/>
    <w:rsid w:val="00A12770"/>
    <w:rsid w:val="00AD1D7D"/>
    <w:rsid w:val="00B10CBB"/>
    <w:rsid w:val="00D71B93"/>
    <w:rsid w:val="00E10EB8"/>
    <w:rsid w:val="00E76E9C"/>
    <w:rsid w:val="00E90C9F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Pr>
      <w:rFonts w:cs="aspira light"/>
      <w:color w:val="000000"/>
      <w:sz w:val="20"/>
      <w:szCs w:val="20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Pr>
      <w:rFonts w:cs="aspira light"/>
      <w:color w:val="000000"/>
      <w:sz w:val="20"/>
      <w:szCs w:val="20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plast-met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C29D2EC-207A-4A96-9014-E699B007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8</cp:revision>
  <dcterms:created xsi:type="dcterms:W3CDTF">2022-05-03T12:21:00Z</dcterms:created>
  <dcterms:modified xsi:type="dcterms:W3CDTF">2022-06-17T07:55:00Z</dcterms:modified>
</cp:coreProperties>
</file>